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16F0" w:rsidRPr="007216F0" w:rsidTr="0096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216F0" w:rsidRPr="007216F0" w:rsidRDefault="007216F0" w:rsidP="00662D8A">
            <w:pPr>
              <w:jc w:val="center"/>
              <w:rPr>
                <w:rFonts w:ascii="Verdana" w:hAnsi="Verdana" w:cstheme="minorHAnsi"/>
                <w:sz w:val="32"/>
                <w:szCs w:val="24"/>
              </w:rPr>
            </w:pPr>
            <w:r w:rsidRPr="007216F0">
              <w:rPr>
                <w:rFonts w:ascii="Verdana" w:hAnsi="Verdana" w:cstheme="minorHAnsi"/>
                <w:sz w:val="32"/>
                <w:szCs w:val="24"/>
              </w:rPr>
              <w:t>Words to avoid in proposals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662D8A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Crutch words </w:t>
            </w:r>
            <w:r w:rsidR="00662D8A" w:rsidRPr="007216F0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–</w:t>
            </w:r>
            <w:r w:rsidRPr="007216F0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used when writers don’t understand what to say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We understand…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Never use the word “understand” in a proposal, other than in a section heading.</w:t>
            </w:r>
            <w:r w:rsidR="00607CD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7216F0">
              <w:rPr>
                <w:rFonts w:ascii="Verdana" w:hAnsi="Verdana" w:cstheme="minorHAnsi"/>
                <w:color w:val="000000" w:themeColor="text1"/>
              </w:rPr>
              <w:t>To say “we understand your requirements” obfuscates any understanding and is, by definition, an unsubstantiated claim.</w:t>
            </w:r>
            <w:r w:rsidR="00607CD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On the other hand, if you say something insightful </w:t>
            </w:r>
            <w:r w:rsidR="006B0D76">
              <w:rPr>
                <w:rFonts w:ascii="Verdana" w:hAnsi="Verdana" w:cstheme="minorHAnsi"/>
                <w:color w:val="000000" w:themeColor="text1"/>
              </w:rPr>
              <w:t xml:space="preserve">about 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how you will fulfill the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requirements,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the reader will see that the bidder understands the requirement</w:t>
            </w:r>
            <w:r w:rsidR="006B0D76">
              <w:rPr>
                <w:rFonts w:ascii="Verdana" w:hAnsi="Verdana" w:cstheme="minorHAnsi"/>
                <w:color w:val="000000" w:themeColor="text1"/>
              </w:rPr>
              <w:t>s</w:t>
            </w:r>
            <w:r w:rsidRPr="007216F0">
              <w:rPr>
                <w:rFonts w:ascii="Verdana" w:hAnsi="Verdana" w:cstheme="minorHAnsi"/>
                <w:color w:val="000000" w:themeColor="text1"/>
              </w:rPr>
              <w:t>.</w:t>
            </w:r>
            <w:r w:rsidR="00607CD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Understanding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should be demonstrated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>, not claimed.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662D8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Leverage our experience</w:t>
            </w:r>
            <w:r w:rsidR="00662D8A" w:rsidRPr="007216F0">
              <w:rPr>
                <w:rFonts w:ascii="Verdana" w:hAnsi="Verdana" w:cstheme="minorHAnsi"/>
                <w:b w:val="0"/>
                <w:color w:val="000000" w:themeColor="text1"/>
              </w:rPr>
              <w:t>…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6B0D76" w:rsidP="006B0D7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“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Leverage</w:t>
            </w:r>
            <w:r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”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 is a word that some writers use when they know there is an advantage to be gained</w:t>
            </w:r>
            <w:r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 but they </w:t>
            </w:r>
            <w:proofErr w:type="gramStart"/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don’t</w:t>
            </w:r>
            <w:proofErr w:type="gramEnd"/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 know how to do it.</w:t>
            </w:r>
            <w:r w:rsidR="00607CD3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Explain </w:t>
            </w:r>
            <w:r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“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how</w:t>
            </w:r>
            <w:r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”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 rather than infer.</w:t>
            </w:r>
            <w:r w:rsidR="00607CD3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Do not use “l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everage</w:t>
            </w:r>
            <w:r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>”</w:t>
            </w:r>
            <w:r w:rsidR="0070585B" w:rsidRPr="007216F0">
              <w:rPr>
                <w:rFonts w:ascii="Verdana" w:eastAsiaTheme="minorHAnsi" w:hAnsi="Verdana" w:cstheme="minorHAnsi"/>
                <w:color w:val="000000" w:themeColor="text1"/>
                <w:sz w:val="24"/>
                <w:szCs w:val="24"/>
                <w:lang w:eastAsia="en-US"/>
              </w:rPr>
              <w:t xml:space="preserve"> in proposals unless you are talking about a mechanical lever and fulcrum.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662D8A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Boasting words </w:t>
            </w:r>
            <w:r w:rsidR="00662D8A" w:rsidRPr="007216F0">
              <w:rPr>
                <w:rFonts w:ascii="Verdana" w:hAnsi="Verdana" w:cstheme="minorHAnsi"/>
                <w:color w:val="000000" w:themeColor="text1"/>
              </w:rPr>
              <w:t>–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these exaggerate or overstate facts</w:t>
            </w:r>
            <w:r w:rsidR="00786B43">
              <w:rPr>
                <w:rFonts w:ascii="Verdana" w:hAnsi="Verdana" w:cstheme="minorHAnsi"/>
                <w:color w:val="000000" w:themeColor="text1"/>
              </w:rPr>
              <w:t>,</w:t>
            </w:r>
            <w:bookmarkStart w:id="0" w:name="_GoBack"/>
            <w:bookmarkEnd w:id="0"/>
            <w:r w:rsidRPr="007216F0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="00786B43">
              <w:rPr>
                <w:rFonts w:ascii="Verdana" w:hAnsi="Verdana" w:cstheme="minorHAnsi"/>
                <w:color w:val="000000" w:themeColor="text1"/>
              </w:rPr>
              <w:br/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causing loss of credibility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State-of-the-art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This is overused and is probably not credible.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The right choice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Prove it.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Uniquely qualified, unique, very unique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Prove it.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Best of breed/class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Prove it.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921FCF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Premier, world</w:t>
            </w:r>
            <w:r w:rsidR="00921FCF">
              <w:rPr>
                <w:rFonts w:ascii="Verdana" w:hAnsi="Verdana" w:cstheme="minorHAnsi"/>
                <w:b w:val="0"/>
                <w:color w:val="000000" w:themeColor="text1"/>
              </w:rPr>
              <w:t>-</w:t>
            </w: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class, world-renowned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847684" w:rsidP="008476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Can’t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be proven</w:t>
            </w:r>
            <w:r w:rsidR="0070585B" w:rsidRPr="007216F0">
              <w:rPr>
                <w:rFonts w:ascii="Verdana" w:hAnsi="Verdana" w:cstheme="minorHAnsi"/>
                <w:color w:val="000000" w:themeColor="text1"/>
              </w:rPr>
              <w:t>. Using it is wasting the evaluators</w:t>
            </w:r>
            <w:r w:rsidRPr="007216F0">
              <w:rPr>
                <w:rFonts w:ascii="Verdana" w:hAnsi="Verdana" w:cstheme="minorHAnsi"/>
                <w:color w:val="000000" w:themeColor="text1"/>
              </w:rPr>
              <w:t>’</w:t>
            </w:r>
            <w:r w:rsidR="0070585B" w:rsidRPr="007216F0">
              <w:rPr>
                <w:rFonts w:ascii="Verdana" w:hAnsi="Verdana" w:cstheme="minorHAnsi"/>
                <w:color w:val="000000" w:themeColor="text1"/>
              </w:rPr>
              <w:t xml:space="preserve"> attention.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921FCF" w:rsidP="0048296A">
            <w:pPr>
              <w:rPr>
                <w:rFonts w:ascii="Verdana" w:hAnsi="Verdana" w:cstheme="minorHAnsi"/>
                <w:b w:val="0"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  <w:sz w:val="24"/>
                <w:szCs w:val="24"/>
              </w:rPr>
              <w:t>Industry best practices, industry standard</w:t>
            </w:r>
          </w:p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Overused, unless recognized as such by an independent 3rd party.</w:t>
            </w:r>
            <w:proofErr w:type="gramEnd"/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921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>
              <w:rPr>
                <w:rFonts w:ascii="Verdana" w:hAnsi="Verdana" w:cstheme="minorHAnsi"/>
                <w:b w:val="0"/>
                <w:color w:val="000000" w:themeColor="text1"/>
              </w:rPr>
              <w:t>L</w:t>
            </w:r>
            <w:r w:rsidR="0070585B" w:rsidRPr="007216F0">
              <w:rPr>
                <w:rFonts w:ascii="Verdana" w:hAnsi="Verdana" w:cstheme="minorHAnsi"/>
                <w:b w:val="0"/>
                <w:color w:val="000000" w:themeColor="text1"/>
              </w:rPr>
              <w:t>eading company, leading edge, leading provider, industry leader, pioneers, cutting edge, etc.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Overused and not believable.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Don't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damage your credibility by using it.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lastRenderedPageBreak/>
              <w:t>Vague</w:t>
            </w:r>
            <w:r w:rsidR="00631F88" w:rsidRPr="007216F0">
              <w:rPr>
                <w:rFonts w:ascii="Verdana" w:hAnsi="Verdana" w:cstheme="minorHAnsi"/>
                <w:color w:val="000000" w:themeColor="text1"/>
              </w:rPr>
              <w:t>, useless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words – these provide little value to the reader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are committed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A148D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Customers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don't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="00A148D4">
              <w:rPr>
                <w:rFonts w:ascii="Verdana" w:hAnsi="Verdana" w:cstheme="minorHAnsi"/>
                <w:color w:val="000000" w:themeColor="text1"/>
              </w:rPr>
              <w:t>want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your commitment</w:t>
            </w:r>
            <w:r w:rsidR="00A148D4">
              <w:rPr>
                <w:rFonts w:ascii="Verdana" w:hAnsi="Verdana" w:cstheme="minorHAnsi"/>
                <w:color w:val="000000" w:themeColor="text1"/>
              </w:rPr>
              <w:t>,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they want results.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are quality focused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This is another way of stating your intentions. Instead of focusing on quality, deliver it.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We value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Instead of valuing it, deliver it.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Our mission is to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This is just another way of stating your intention.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Dedicated to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Your dedication is not relevant to whether you have delivered or not.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Top-quality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Is there any other kind?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Full service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What exactly does that mean and is it credible?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Comprehensive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As opposed to?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2A6F6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Fastest growing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2A6F6B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Your ability to grow rapidly may not be a selling point to your customer</w:t>
            </w:r>
            <w:r w:rsidR="00A63695" w:rsidRPr="007216F0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A6F6B" w:rsidRPr="007216F0" w:rsidRDefault="002A6F6B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Trustworthy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A6F6B" w:rsidRPr="007216F0" w:rsidRDefault="00A63695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I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don’t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know about you, but when I hear that, I tend to run the other way.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A6F6B" w:rsidRPr="007216F0" w:rsidRDefault="00A63695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Customer first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A6F6B" w:rsidRPr="007216F0" w:rsidRDefault="00A63695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This is not believable.</w:t>
            </w:r>
            <w:r w:rsidR="00607CD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7216F0">
              <w:rPr>
                <w:rFonts w:ascii="Verdana" w:hAnsi="Verdana" w:cstheme="minorHAnsi"/>
                <w:color w:val="000000" w:themeColor="text1"/>
              </w:rPr>
              <w:t>Everyone knows there are limits to what you will do for your customers.</w:t>
            </w:r>
            <w:r w:rsidR="00607CD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Don’t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strain your credibility.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585B" w:rsidRPr="007216F0" w:rsidRDefault="0070585B" w:rsidP="0048296A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Weak words – these weaken the bidder</w:t>
            </w:r>
            <w:r w:rsidR="00662D8A" w:rsidRPr="007216F0">
              <w:rPr>
                <w:rFonts w:ascii="Verdana" w:hAnsi="Verdana" w:cstheme="minorHAnsi"/>
                <w:color w:val="000000" w:themeColor="text1"/>
              </w:rPr>
              <w:t>’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s argument </w:t>
            </w:r>
            <w:r w:rsidR="00786B43">
              <w:rPr>
                <w:rFonts w:ascii="Verdana" w:hAnsi="Verdana" w:cstheme="minorHAnsi"/>
                <w:color w:val="000000" w:themeColor="text1"/>
              </w:rPr>
              <w:br/>
            </w:r>
            <w:r w:rsidRPr="007216F0">
              <w:rPr>
                <w:rFonts w:ascii="Verdana" w:hAnsi="Verdana" w:cstheme="minorHAnsi"/>
                <w:color w:val="000000" w:themeColor="text1"/>
              </w:rPr>
              <w:t>and cause doubt in the minds of evaluators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Don’t use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  <w:t>Use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believe, think, or feel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Who cares? The customer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doesn't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care what you think. Take whatever you were about to say, turn it into a positive action</w:t>
            </w:r>
            <w:r w:rsidR="00A148D4">
              <w:rPr>
                <w:rFonts w:ascii="Verdana" w:hAnsi="Verdana" w:cstheme="minorHAnsi"/>
                <w:color w:val="000000" w:themeColor="text1"/>
              </w:rPr>
              <w:t>,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and state the benefits to the customer.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>We will strive, try, or attempt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Customers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don't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want you to try, they want you to deliver.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A148D4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lastRenderedPageBreak/>
              <w:t xml:space="preserve">We would be honored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This is just another way of saying how you feel and talking about yourself instead of making it about the customer.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are pleased to submit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A148D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Of course you are! Does that phrase do anything other than waste the evaluators</w:t>
            </w:r>
            <w:r w:rsidR="00A148D4">
              <w:rPr>
                <w:rFonts w:ascii="Verdana" w:hAnsi="Verdana" w:cstheme="minorHAnsi"/>
                <w:color w:val="000000" w:themeColor="text1"/>
              </w:rPr>
              <w:t>’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time and attention?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are committed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A148D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Customers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don't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="00A148D4">
              <w:rPr>
                <w:rFonts w:ascii="Verdana" w:hAnsi="Verdana" w:cstheme="minorHAnsi"/>
                <w:color w:val="000000" w:themeColor="text1"/>
              </w:rPr>
              <w:t>want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your commitment, they want results.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Our highest priority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This </w:t>
            </w:r>
            <w:r w:rsidR="00602467">
              <w:rPr>
                <w:rFonts w:ascii="Verdana" w:hAnsi="Verdana" w:cstheme="minorHAnsi"/>
                <w:color w:val="000000" w:themeColor="text1"/>
              </w:rPr>
              <w:t xml:space="preserve">is 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like saying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it's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your greatest intention.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can provide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Either you provide it, or you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don't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.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Our mission is to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This is just another way of stating your intention.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desire your business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Of course you do!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But</w:t>
            </w:r>
            <w:proofErr w:type="gramEnd"/>
            <w:r w:rsidR="00602467">
              <w:rPr>
                <w:rFonts w:ascii="Verdana" w:hAnsi="Verdana" w:cstheme="minorHAnsi"/>
                <w:color w:val="000000" w:themeColor="text1"/>
              </w:rPr>
              <w:t>,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your proposal should not be about your needs, it should be about the customer's needs.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intend to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Either you do it, or you </w:t>
            </w: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don't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. Who cares what your intentions are.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are devoted to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This is just another way of saying you intend to.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rPr>
                <w:rFonts w:ascii="Verdana" w:hAnsi="Verdana" w:cstheme="minorHAnsi"/>
                <w:b w:val="0"/>
                <w:color w:val="000000" w:themeColor="text1"/>
              </w:rPr>
            </w:pPr>
            <w:r w:rsidRPr="007216F0">
              <w:rPr>
                <w:rFonts w:ascii="Verdana" w:hAnsi="Verdana" w:cstheme="minorHAnsi"/>
                <w:b w:val="0"/>
                <w:color w:val="000000" w:themeColor="text1"/>
              </w:rPr>
              <w:t xml:space="preserve">We hope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</w:rPr>
            </w:pPr>
            <w:proofErr w:type="gramStart"/>
            <w:r w:rsidRPr="007216F0">
              <w:rPr>
                <w:rFonts w:ascii="Verdana" w:hAnsi="Verdana" w:cstheme="minorHAnsi"/>
                <w:color w:val="000000" w:themeColor="text1"/>
              </w:rPr>
              <w:t>That's</w:t>
            </w:r>
            <w:proofErr w:type="gramEnd"/>
            <w:r w:rsidRPr="007216F0">
              <w:rPr>
                <w:rFonts w:ascii="Verdana" w:hAnsi="Verdana" w:cstheme="minorHAnsi"/>
                <w:color w:val="000000" w:themeColor="text1"/>
              </w:rPr>
              <w:t xml:space="preserve"> like saying you intend to</w:t>
            </w:r>
            <w:r w:rsidR="00602467">
              <w:rPr>
                <w:rFonts w:ascii="Verdana" w:hAnsi="Verdana" w:cstheme="minorHAnsi"/>
                <w:color w:val="000000" w:themeColor="text1"/>
              </w:rPr>
              <w:t>,</w:t>
            </w:r>
            <w:r w:rsidRPr="007216F0">
              <w:rPr>
                <w:rFonts w:ascii="Verdana" w:hAnsi="Verdana" w:cstheme="minorHAnsi"/>
                <w:color w:val="000000" w:themeColor="text1"/>
              </w:rPr>
              <w:t xml:space="preserve"> but you're not sure you'll be able to.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62D8A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Phrases with hidden verbs – replace with action verbs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Don’t use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  <w:t>Use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Arrived at the conclusion</w:t>
            </w:r>
          </w:p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Came to an agreement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Concluded</w:t>
            </w:r>
          </w:p>
          <w:p w:rsidR="00BA4FCF" w:rsidRPr="007216F0" w:rsidRDefault="00BA4FCF" w:rsidP="00BA4FC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Agreed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Gave a demonstration </w:t>
            </w:r>
          </w:p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Gave an explanation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Demonstrated</w:t>
            </w:r>
          </w:p>
          <w:p w:rsidR="00BA4FCF" w:rsidRPr="007216F0" w:rsidRDefault="00BA4FCF" w:rsidP="00BA4FC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Explained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Has a requirement for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Requires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71692D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Ha</w:t>
            </w:r>
            <w:r w:rsidR="0071692D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s </w:t>
            </w: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 need for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Need</w:t>
            </w:r>
            <w:r w:rsidR="0071692D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Held a meeting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Met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Made a payment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Paid</w:t>
            </w: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ab/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lastRenderedPageBreak/>
              <w:t>Performed an analysis of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Analyzed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62D8A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>Redundant Words – simplify to write concisely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Don’t use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  <w:t>Use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6-month period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6 months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 number of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several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able to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can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accordingly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so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acquainted with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know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acted as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was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actual experience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experience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advance planning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planning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advance reservations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reservations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advance warning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warning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along the lines of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like, similar to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any and all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all, any, every (or leave out)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as to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about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basic fundamentals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9E390B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b</w:t>
            </w:r>
            <w:r w:rsidR="00BA4FCF"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asic or fundamentals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capable of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can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close proximity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proximity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consensus of opinion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consensus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consequently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so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deteriorate in quality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deteriorate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discontinue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stop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each and every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each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end result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result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estimated roughly at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estimated at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exact same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same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filled to capacity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filled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AE26A0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f</w:t>
            </w:r>
            <w:r w:rsidR="00BA4FCF"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irst and foremost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AE26A0" w:rsidP="00AE26A0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first, </w:t>
            </w:r>
            <w:r w:rsidR="00BA4FCF"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foremost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lastRenderedPageBreak/>
              <w:t>for backup purposes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for backup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for the purpose of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AE26A0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for, to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functioned as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was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furthermore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then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give an affirmative answer to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say yes to, agree to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AE26A0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g</w:t>
            </w:r>
            <w:r w:rsidR="00BA4FCF"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ood advantage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advantage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if and when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if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 a teaching situation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in teaching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 accordance with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by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in addition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also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 an effort to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to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in as much as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since, because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in favor of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for, to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in order to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to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 the case of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if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 the event that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if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in the nature of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like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in the neighborhood of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about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 this day and age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today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issue a reminder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remind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join together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join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new innovation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innovation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on a monthly basis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monthly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on the basis of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by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on the grounds that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because, since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past experience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experience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past history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history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plan ahead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plan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prior to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before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lastRenderedPageBreak/>
              <w:t xml:space="preserve">reason is because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reason is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regular routine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routine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responsible for managing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D10B98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m</w:t>
            </w:r>
            <w:r w:rsidR="00BA4FCF"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anaged</w:t>
            </w:r>
            <w:r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,</w:t>
            </w:r>
            <w:r w:rsidR="00BA4FCF"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 manages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suddenly exploded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exploded 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throngs of people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throngs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twelve noon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noon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utilize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use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with a view to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to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with reference to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about (or leave out)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with regard to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about (or leave out)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with the result that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so that 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62D8A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</w:rPr>
            </w:pPr>
            <w:r w:rsidRPr="007216F0">
              <w:rPr>
                <w:rFonts w:ascii="Verdana" w:hAnsi="Verdana" w:cstheme="minorHAnsi"/>
                <w:color w:val="000000" w:themeColor="text1"/>
              </w:rPr>
              <w:t xml:space="preserve">Unnecessary qualifiers – avoid these or if used, </w:t>
            </w:r>
            <w:r w:rsidR="00C6011D">
              <w:rPr>
                <w:rFonts w:ascii="Verdana" w:hAnsi="Verdana" w:cstheme="minorHAnsi"/>
                <w:color w:val="000000" w:themeColor="text1"/>
              </w:rPr>
              <w:br/>
            </w:r>
            <w:r w:rsidRPr="007216F0">
              <w:rPr>
                <w:rFonts w:ascii="Verdana" w:hAnsi="Verdana" w:cstheme="minorHAnsi"/>
                <w:color w:val="000000" w:themeColor="text1"/>
              </w:rPr>
              <w:t>substantiate your assertions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actually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now and again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obviously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always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occasionally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best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of course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certainly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quite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comparatively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rather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definitely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relatively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exactly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respectively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finest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sharpest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heaviest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some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 am absolutely certain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sometimes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 guess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somewhat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 know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sort of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 think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specific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it goes without saying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thoroughly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kind of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totally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lastRenderedPageBreak/>
              <w:t>more or less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usually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most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utterly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needless to say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very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never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wholly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0104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worst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7216F0">
            <w:pPr>
              <w:pStyle w:val="TableText"/>
              <w:spacing w:before="0" w:after="0"/>
              <w:jc w:val="center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Needlessly long words – replaced with short, simple words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Long word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602467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/>
                <w:noProof w:val="0"/>
                <w:snapToGrid/>
                <w:color w:val="000000" w:themeColor="text1"/>
                <w:sz w:val="24"/>
                <w:szCs w:val="24"/>
              </w:rPr>
              <w:t>Replacement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ascertain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learn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encompass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include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endeavor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try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enumerate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list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fabricate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make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fluctuate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vary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illustrate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show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indispensable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vital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initiate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start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modification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change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recapitulate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review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reproduction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copy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subsequent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after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 xml:space="preserve">substantial 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large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termination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end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utilization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D10B98" w:rsidP="008B338E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use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jc w:val="center"/>
              <w:rPr>
                <w:rFonts w:ascii="Verdana" w:hAnsi="Verdana" w:cstheme="minorHAnsi"/>
                <w:noProof w:val="0"/>
                <w:color w:val="000000" w:themeColor="text1"/>
                <w:sz w:val="20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Slang words – use in everyday speaking, but not in proposals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Hit the ground running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noProof w:val="0"/>
                <w:color w:val="000000" w:themeColor="text1"/>
                <w:sz w:val="20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Well-</w:t>
            </w: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seasoned managers</w:t>
            </w:r>
          </w:p>
        </w:tc>
      </w:tr>
      <w:tr w:rsidR="007216F0" w:rsidRPr="007216F0" w:rsidTr="006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BA4FCF">
            <w:pPr>
              <w:pStyle w:val="TableText"/>
              <w:spacing w:before="0" w:after="0"/>
              <w:jc w:val="center"/>
              <w:rPr>
                <w:rFonts w:ascii="Verdana" w:hAnsi="Verdana" w:cstheme="minorHAnsi"/>
                <w:noProof w:val="0"/>
                <w:color w:val="000000" w:themeColor="text1"/>
                <w:sz w:val="20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 xml:space="preserve">Legal words – if used, make sure you intend to comply </w:t>
            </w:r>
            <w:r w:rsidR="00C6011D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br/>
            </w: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with the legal definition</w:t>
            </w:r>
          </w:p>
        </w:tc>
      </w:tr>
      <w:tr w:rsidR="007216F0" w:rsidRPr="007216F0" w:rsidTr="006B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8B338E">
            <w:pPr>
              <w:pStyle w:val="TableText"/>
              <w:spacing w:before="0" w:after="0"/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</w:pPr>
            <w:r w:rsidRPr="007216F0">
              <w:rPr>
                <w:rFonts w:ascii="Verdana" w:eastAsiaTheme="minorHAnsi" w:hAnsi="Verdana" w:cstheme="minorHAnsi"/>
                <w:b w:val="0"/>
                <w:noProof w:val="0"/>
                <w:snapToGrid/>
                <w:color w:val="000000" w:themeColor="text1"/>
                <w:sz w:val="24"/>
                <w:szCs w:val="24"/>
              </w:rPr>
              <w:t>Ensure</w:t>
            </w:r>
          </w:p>
        </w:tc>
        <w:tc>
          <w:tcPr>
            <w:tcW w:w="478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A4FCF" w:rsidRPr="007216F0" w:rsidRDefault="00BA4FCF" w:rsidP="0048296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noProof w:val="0"/>
                <w:color w:val="000000" w:themeColor="text1"/>
                <w:sz w:val="20"/>
              </w:rPr>
            </w:pPr>
            <w:r w:rsidRPr="007216F0">
              <w:rPr>
                <w:rFonts w:ascii="Verdana" w:eastAsiaTheme="minorHAnsi" w:hAnsi="Verdana" w:cstheme="minorHAnsi"/>
                <w:noProof w:val="0"/>
                <w:snapToGrid/>
                <w:color w:val="000000" w:themeColor="text1"/>
                <w:sz w:val="24"/>
                <w:szCs w:val="24"/>
              </w:rPr>
              <w:t>Guarantee</w:t>
            </w:r>
          </w:p>
        </w:tc>
      </w:tr>
    </w:tbl>
    <w:p w:rsidR="00916EF4" w:rsidRPr="007216F0" w:rsidRDefault="00916EF4">
      <w:pPr>
        <w:rPr>
          <w:color w:val="000000" w:themeColor="text1"/>
        </w:rPr>
      </w:pPr>
    </w:p>
    <w:sectPr w:rsidR="00916EF4" w:rsidRPr="007216F0" w:rsidSect="00967335">
      <w:headerReference w:type="default" r:id="rId8"/>
      <w:footerReference w:type="default" r:id="rId9"/>
      <w:pgSz w:w="12240" w:h="15840"/>
      <w:pgMar w:top="198" w:right="1440" w:bottom="720" w:left="144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33" w:rsidRDefault="00587A33" w:rsidP="00EC6159">
      <w:pPr>
        <w:spacing w:after="0" w:line="240" w:lineRule="auto"/>
      </w:pPr>
      <w:r>
        <w:separator/>
      </w:r>
    </w:p>
  </w:endnote>
  <w:endnote w:type="continuationSeparator" w:id="0">
    <w:p w:rsidR="00587A33" w:rsidRDefault="00587A33" w:rsidP="00E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77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E2240" w:rsidRDefault="006E22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808080" w:themeColor="background1" w:themeShade="80"/>
            <w:spacing w:val="60"/>
          </w:rPr>
          <w:t>Lohfeld Consulting Group, Inc.</w:t>
        </w:r>
        <w:r w:rsidR="00607CD3"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159" w:rsidRDefault="00EC6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33" w:rsidRDefault="00587A33" w:rsidP="00EC6159">
      <w:pPr>
        <w:spacing w:after="0" w:line="240" w:lineRule="auto"/>
      </w:pPr>
      <w:r>
        <w:separator/>
      </w:r>
    </w:p>
  </w:footnote>
  <w:footnote w:type="continuationSeparator" w:id="0">
    <w:p w:rsidR="00587A33" w:rsidRDefault="00587A33" w:rsidP="00EC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59" w:rsidRPr="00EC6159" w:rsidRDefault="00EC6159" w:rsidP="00EC6159">
    <w:pPr>
      <w:pStyle w:val="Header"/>
      <w:tabs>
        <w:tab w:val="clear" w:pos="4680"/>
      </w:tabs>
      <w:rPr>
        <w:rFonts w:ascii="Verdana" w:hAnsi="Verdana"/>
        <w:b/>
      </w:rPr>
    </w:pPr>
    <w:r w:rsidRPr="00EC6159">
      <w:rPr>
        <w:rFonts w:ascii="Verdana" w:hAnsi="Verdana"/>
        <w:b/>
        <w:noProof/>
      </w:rPr>
      <w:drawing>
        <wp:inline distT="0" distB="0" distL="0" distR="0" wp14:anchorId="11441ED5" wp14:editId="7D5F8F44">
          <wp:extent cx="577215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hfeld-Consulting-Group-logo-for-web-12-21-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 w:rsidRPr="006E2240">
      <w:rPr>
        <w:rFonts w:ascii="Verdana" w:hAnsi="Verdana"/>
        <w:b/>
        <w:color w:val="1F497D" w:themeColor="text2"/>
        <w:sz w:val="40"/>
      </w:rPr>
      <w:t>Words to avoid in proposals</w:t>
    </w:r>
  </w:p>
  <w:p w:rsidR="00EC6159" w:rsidRDefault="00EC6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187"/>
    <w:multiLevelType w:val="hybridMultilevel"/>
    <w:tmpl w:val="2FEE3426"/>
    <w:lvl w:ilvl="0" w:tplc="1F7A0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0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C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0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A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6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84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85B"/>
    <w:rsid w:val="001B5587"/>
    <w:rsid w:val="002A6F6B"/>
    <w:rsid w:val="002A74D0"/>
    <w:rsid w:val="003122E6"/>
    <w:rsid w:val="0040161F"/>
    <w:rsid w:val="0048296A"/>
    <w:rsid w:val="004E7713"/>
    <w:rsid w:val="004E7C49"/>
    <w:rsid w:val="00587A33"/>
    <w:rsid w:val="00602467"/>
    <w:rsid w:val="00607CD3"/>
    <w:rsid w:val="00631F88"/>
    <w:rsid w:val="00662D8A"/>
    <w:rsid w:val="006B0D76"/>
    <w:rsid w:val="006E2240"/>
    <w:rsid w:val="0070585B"/>
    <w:rsid w:val="0071692D"/>
    <w:rsid w:val="007216F0"/>
    <w:rsid w:val="0075509C"/>
    <w:rsid w:val="00786B43"/>
    <w:rsid w:val="007C0481"/>
    <w:rsid w:val="007F78D3"/>
    <w:rsid w:val="00847684"/>
    <w:rsid w:val="008653B3"/>
    <w:rsid w:val="008B338E"/>
    <w:rsid w:val="00916EF4"/>
    <w:rsid w:val="00921FCF"/>
    <w:rsid w:val="00967335"/>
    <w:rsid w:val="009E390B"/>
    <w:rsid w:val="00A148D4"/>
    <w:rsid w:val="00A63695"/>
    <w:rsid w:val="00AE26A0"/>
    <w:rsid w:val="00BA4FCF"/>
    <w:rsid w:val="00BF04FE"/>
    <w:rsid w:val="00C6011D"/>
    <w:rsid w:val="00D10B98"/>
    <w:rsid w:val="00D92A75"/>
    <w:rsid w:val="00DC56A0"/>
    <w:rsid w:val="00DD17E5"/>
    <w:rsid w:val="00EC6159"/>
    <w:rsid w:val="00EF01BC"/>
    <w:rsid w:val="00F03794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70585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85B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TableText">
    <w:name w:val="Table Text"/>
    <w:rsid w:val="002A6F6B"/>
    <w:pPr>
      <w:widowControl w:val="0"/>
      <w:spacing w:before="40" w:after="40" w:line="240" w:lineRule="auto"/>
    </w:pPr>
    <w:rPr>
      <w:rFonts w:ascii="Arial" w:eastAsia="Times New Roman" w:hAnsi="Arial" w:cs="Times New Roman"/>
      <w:noProof/>
      <w:snapToGrid w:val="0"/>
      <w:sz w:val="16"/>
      <w:szCs w:val="20"/>
    </w:rPr>
  </w:style>
  <w:style w:type="paragraph" w:customStyle="1" w:styleId="bodytext-styleguide">
    <w:name w:val="body text-style guide"/>
    <w:rsid w:val="002A6F6B"/>
    <w:pPr>
      <w:spacing w:after="120" w:line="240" w:lineRule="auto"/>
    </w:pPr>
    <w:rPr>
      <w:rFonts w:ascii="Calibri" w:eastAsia="Times New Roman" w:hAnsi="Calibri" w:cs="Times New Roman"/>
      <w:snapToGrid w:val="0"/>
      <w:sz w:val="24"/>
      <w:szCs w:val="24"/>
    </w:rPr>
  </w:style>
  <w:style w:type="table" w:styleId="LightList-Accent1">
    <w:name w:val="Light List Accent 1"/>
    <w:basedOn w:val="TableNormal"/>
    <w:uiPriority w:val="61"/>
    <w:rsid w:val="00721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59"/>
  </w:style>
  <w:style w:type="paragraph" w:styleId="Footer">
    <w:name w:val="footer"/>
    <w:basedOn w:val="Normal"/>
    <w:link w:val="FooterChar"/>
    <w:uiPriority w:val="99"/>
    <w:unhideWhenUsed/>
    <w:rsid w:val="00EC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59"/>
  </w:style>
  <w:style w:type="paragraph" w:styleId="BalloonText">
    <w:name w:val="Balloon Text"/>
    <w:basedOn w:val="Normal"/>
    <w:link w:val="BalloonTextChar"/>
    <w:uiPriority w:val="99"/>
    <w:semiHidden/>
    <w:unhideWhenUsed/>
    <w:rsid w:val="00EC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Lohfeld</dc:creator>
  <cp:lastModifiedBy>Beth Wingate</cp:lastModifiedBy>
  <cp:revision>22</cp:revision>
  <dcterms:created xsi:type="dcterms:W3CDTF">2012-06-11T18:34:00Z</dcterms:created>
  <dcterms:modified xsi:type="dcterms:W3CDTF">2012-06-12T15:19:00Z</dcterms:modified>
</cp:coreProperties>
</file>